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3781"/>
        <w:tblW w:w="10275" w:type="dxa"/>
        <w:tblLook w:val="04A0" w:firstRow="1" w:lastRow="0" w:firstColumn="1" w:lastColumn="0" w:noHBand="0" w:noVBand="1"/>
      </w:tblPr>
      <w:tblGrid>
        <w:gridCol w:w="3121"/>
        <w:gridCol w:w="7154"/>
      </w:tblGrid>
      <w:tr w:rsidR="00214370" w:rsidRPr="00214370" w14:paraId="1434BB0F" w14:textId="77777777" w:rsidTr="00270731">
        <w:trPr>
          <w:trHeight w:val="386"/>
        </w:trPr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1E20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Promotion</w:t>
            </w:r>
          </w:p>
        </w:tc>
        <w:tc>
          <w:tcPr>
            <w:tcW w:w="7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6CAB" w14:textId="059C1773" w:rsidR="00214370" w:rsidRPr="00270731" w:rsidRDefault="00214370" w:rsidP="00270731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Win </w:t>
            </w:r>
            <w:r w:rsidR="00F77077" w:rsidRPr="0027073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271B5C" w:rsidRPr="0027073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$1</w:t>
            </w:r>
            <w:r w:rsidR="00866F11" w:rsidRPr="0027073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00 </w:t>
            </w:r>
            <w:proofErr w:type="spellStart"/>
            <w:r w:rsidR="00866F11" w:rsidRPr="0027073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Bunnings</w:t>
            </w:r>
            <w:proofErr w:type="spellEnd"/>
            <w:r w:rsidR="00866F11" w:rsidRPr="0027073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Warehouse Voucher</w:t>
            </w:r>
            <w:r w:rsidR="00AB566F" w:rsidRPr="0027073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14370" w:rsidRPr="00214370" w14:paraId="4B644731" w14:textId="77777777" w:rsidTr="00270731">
        <w:trPr>
          <w:trHeight w:val="732"/>
        </w:trPr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45F8E73F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Promoter Name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78CC2996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Watt Realty.  Address: Suite 1 Level 1/605 Robinson Rd Aspley QLD 4304. Phone: (07) 3263 9555. ABN: 74117032041.</w:t>
            </w:r>
          </w:p>
        </w:tc>
      </w:tr>
      <w:tr w:rsidR="00214370" w:rsidRPr="00214370" w14:paraId="3B21B7C6" w14:textId="77777777" w:rsidTr="00270731">
        <w:trPr>
          <w:trHeight w:val="386"/>
        </w:trPr>
        <w:tc>
          <w:tcPr>
            <w:tcW w:w="31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C0BA0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Website(s)</w:t>
            </w:r>
          </w:p>
        </w:tc>
        <w:tc>
          <w:tcPr>
            <w:tcW w:w="71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81F6" w14:textId="77777777" w:rsidR="00D96B67" w:rsidRPr="00270731" w:rsidRDefault="00D96B67" w:rsidP="00270731">
            <w:pPr>
              <w:rPr>
                <w:sz w:val="20"/>
                <w:szCs w:val="20"/>
              </w:rPr>
            </w:pPr>
          </w:p>
          <w:p w14:paraId="1DDA9590" w14:textId="77777777" w:rsidR="00214370" w:rsidRPr="00270731" w:rsidRDefault="00D96B67" w:rsidP="00270731">
            <w:pPr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214370" w:rsidRPr="00270731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</w:rPr>
                <w:t xml:space="preserve">www.wattrealty.com.au </w:t>
              </w:r>
            </w:hyperlink>
          </w:p>
          <w:p w14:paraId="2626D763" w14:textId="77777777" w:rsidR="00D96B67" w:rsidRPr="00270731" w:rsidRDefault="00D96B67" w:rsidP="00270731">
            <w:pPr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214370" w:rsidRPr="00214370" w14:paraId="6E598E1E" w14:textId="77777777" w:rsidTr="00270731">
        <w:trPr>
          <w:trHeight w:val="1159"/>
        </w:trPr>
        <w:tc>
          <w:tcPr>
            <w:tcW w:w="312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1793F35C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Promotion Period</w:t>
            </w:r>
          </w:p>
        </w:tc>
        <w:tc>
          <w:tcPr>
            <w:tcW w:w="7154" w:type="dxa"/>
            <w:tcBorders>
              <w:left w:val="nil"/>
              <w:bottom w:val="nil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21EBCE64" w14:textId="408AF1ED" w:rsidR="00214370" w:rsidRPr="00270731" w:rsidRDefault="00CD505A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Starts</w:t>
            </w:r>
            <w:r w:rsidR="00271B5C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6pm at each Brisbane Property </w:t>
            </w:r>
            <w:r w:rsidR="009D225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Networking </w:t>
            </w:r>
            <w:r w:rsidR="00271B5C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Group meeting</w:t>
            </w:r>
            <w:r w:rsidR="00F77077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="00271B5C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Ends 10pm at the closure of the Brisbane Property </w:t>
            </w:r>
            <w:r w:rsidR="009D225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Networking </w:t>
            </w:r>
            <w:r w:rsidR="00271B5C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Group meeting (unless drawn earlier). </w:t>
            </w:r>
            <w:r w:rsidR="00214370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Promoter may amend the Promotional Period in accordance with state legislative rules.</w:t>
            </w:r>
          </w:p>
        </w:tc>
      </w:tr>
      <w:tr w:rsidR="00214370" w:rsidRPr="00214370" w14:paraId="4D596F13" w14:textId="77777777" w:rsidTr="00270731">
        <w:trPr>
          <w:trHeight w:val="981"/>
        </w:trPr>
        <w:tc>
          <w:tcPr>
            <w:tcW w:w="312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1326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Entry Restrictions</w:t>
            </w:r>
          </w:p>
        </w:tc>
        <w:tc>
          <w:tcPr>
            <w:tcW w:w="7154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9B8E" w14:textId="40BB0D20" w:rsidR="00214370" w:rsidRPr="00270731" w:rsidRDefault="00F77077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Entry is open to people aged 18+ years</w:t>
            </w:r>
            <w:r w:rsidR="00214370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14370" w:rsidRPr="00214370" w14:paraId="433AF228" w14:textId="77777777" w:rsidTr="00270731">
        <w:trPr>
          <w:trHeight w:val="1058"/>
        </w:trPr>
        <w:tc>
          <w:tcPr>
            <w:tcW w:w="312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7B071998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Maximum Entries per person</w:t>
            </w:r>
          </w:p>
        </w:tc>
        <w:tc>
          <w:tcPr>
            <w:tcW w:w="715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5A6DD96C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One entry per person.</w:t>
            </w:r>
          </w:p>
        </w:tc>
      </w:tr>
      <w:tr w:rsidR="00214370" w:rsidRPr="00214370" w14:paraId="055F6051" w14:textId="77777777" w:rsidTr="00270731">
        <w:trPr>
          <w:trHeight w:val="1363"/>
        </w:trPr>
        <w:tc>
          <w:tcPr>
            <w:tcW w:w="312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8ADEA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Entry Procedure</w:t>
            </w:r>
          </w:p>
        </w:tc>
        <w:tc>
          <w:tcPr>
            <w:tcW w:w="715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CB7E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To enter, entrants, during the Promotional Period will be encouraged to provide their details (name, address, age and contact number) on the manual entry form provided.</w:t>
            </w:r>
          </w:p>
        </w:tc>
      </w:tr>
      <w:tr w:rsidR="00214370" w:rsidRPr="00214370" w14:paraId="6E9A517E" w14:textId="77777777" w:rsidTr="00270731">
        <w:trPr>
          <w:trHeight w:val="1627"/>
        </w:trPr>
        <w:tc>
          <w:tcPr>
            <w:tcW w:w="3121" w:type="dxa"/>
            <w:tcBorders>
              <w:left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14:paraId="36FEB81A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Draw Details</w:t>
            </w:r>
          </w:p>
        </w:tc>
        <w:tc>
          <w:tcPr>
            <w:tcW w:w="7154" w:type="dxa"/>
            <w:tcBorders>
              <w:left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14:paraId="64E98B85" w14:textId="2D6FE2B2" w:rsidR="00214370" w:rsidRPr="00270731" w:rsidRDefault="00214370" w:rsidP="0027073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libri"/>
                <w:color w:val="343434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 winner will be dr</w:t>
            </w:r>
            <w:r w:rsidR="006A597D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awn at random </w:t>
            </w:r>
            <w:r w:rsidR="00271B5C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during the</w:t>
            </w:r>
            <w:r w:rsidR="00866F11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Brisbane Property </w:t>
            </w:r>
            <w:r w:rsidR="009D225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Networking </w:t>
            </w:r>
            <w:bookmarkStart w:id="0" w:name="_GoBack"/>
            <w:bookmarkEnd w:id="0"/>
            <w:r w:rsidR="00866F11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Group meeting </w:t>
            </w:r>
            <w:r w:rsidR="00271B5C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between 7</w:t>
            </w:r>
            <w:r w:rsidR="00866F11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pm and 10pm</w:t>
            </w:r>
            <w:r w:rsidR="00C62D89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="00CD505A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 </w:t>
            </w: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All decisions of the draw are at the discretion of the Promoter and no correspondence will be entered into in this regard.</w:t>
            </w:r>
          </w:p>
        </w:tc>
      </w:tr>
      <w:tr w:rsidR="00214370" w:rsidRPr="00214370" w14:paraId="53E31B5D" w14:textId="77777777" w:rsidTr="00270731">
        <w:trPr>
          <w:trHeight w:val="386"/>
        </w:trPr>
        <w:tc>
          <w:tcPr>
            <w:tcW w:w="312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495B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Prize Details</w:t>
            </w:r>
          </w:p>
        </w:tc>
        <w:tc>
          <w:tcPr>
            <w:tcW w:w="715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0831" w14:textId="7197921D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1 x </w:t>
            </w:r>
            <w:r w:rsidR="00271B5C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</w:t>
            </w:r>
            <w:r w:rsidR="00866F11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="00866F11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Bunnings</w:t>
            </w:r>
            <w:proofErr w:type="spellEnd"/>
            <w:r w:rsidR="00866F11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Warehouse Voucher</w:t>
            </w:r>
          </w:p>
        </w:tc>
      </w:tr>
      <w:tr w:rsidR="00214370" w:rsidRPr="00214370" w14:paraId="03AC1079" w14:textId="77777777" w:rsidTr="00270731">
        <w:trPr>
          <w:trHeight w:val="386"/>
        </w:trPr>
        <w:tc>
          <w:tcPr>
            <w:tcW w:w="3121" w:type="dxa"/>
            <w:tcBorders>
              <w:left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14:paraId="4A9D9746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Total Prize Pool</w:t>
            </w:r>
          </w:p>
        </w:tc>
        <w:tc>
          <w:tcPr>
            <w:tcW w:w="7154" w:type="dxa"/>
            <w:tcBorders>
              <w:left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1AC14621" w14:textId="05B3FC9E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Prize valued at $</w:t>
            </w:r>
            <w:r w:rsidR="00271B5C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</w:t>
            </w:r>
            <w:r w:rsidR="00866F11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214370" w:rsidRPr="00214370" w14:paraId="72E70CE3" w14:textId="77777777" w:rsidTr="00270731">
        <w:trPr>
          <w:trHeight w:val="1220"/>
        </w:trPr>
        <w:tc>
          <w:tcPr>
            <w:tcW w:w="312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9312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Notification of Winners</w:t>
            </w:r>
          </w:p>
        </w:tc>
        <w:tc>
          <w:tcPr>
            <w:tcW w:w="715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24AE" w14:textId="26E4909D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Winners </w:t>
            </w:r>
            <w:r w:rsidR="00F77077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not present at the draw </w:t>
            </w: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will be notified by telephone </w:t>
            </w:r>
            <w:r w:rsidR="00AB566F"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or email </w:t>
            </w: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within 2 business days of being determined.</w:t>
            </w:r>
          </w:p>
        </w:tc>
      </w:tr>
      <w:tr w:rsidR="00214370" w:rsidRPr="00214370" w14:paraId="1052E8E5" w14:textId="77777777" w:rsidTr="00270731">
        <w:trPr>
          <w:trHeight w:val="386"/>
        </w:trPr>
        <w:tc>
          <w:tcPr>
            <w:tcW w:w="3121" w:type="dxa"/>
            <w:tcBorders>
              <w:left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14:paraId="24E64CF7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Publication Details</w:t>
            </w:r>
          </w:p>
        </w:tc>
        <w:tc>
          <w:tcPr>
            <w:tcW w:w="7154" w:type="dxa"/>
            <w:tcBorders>
              <w:left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322353CF" w14:textId="77777777" w:rsidR="00214370" w:rsidRPr="00270731" w:rsidRDefault="00214370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270731" w:rsidRPr="00214370" w14:paraId="297C3C28" w14:textId="77777777" w:rsidTr="00270731">
        <w:trPr>
          <w:trHeight w:val="386"/>
        </w:trPr>
        <w:tc>
          <w:tcPr>
            <w:tcW w:w="312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D9D9D9" w:fill="auto"/>
            <w:noWrap/>
            <w:vAlign w:val="center"/>
          </w:tcPr>
          <w:p w14:paraId="604B687F" w14:textId="77777777" w:rsidR="00270731" w:rsidRDefault="00270731" w:rsidP="00270731">
            <w:pPr>
              <w:rPr>
                <w:rFonts w:ascii="Century Gothic" w:hAnsi="Century Gothic" w:cs="Arial"/>
                <w:sz w:val="20"/>
                <w:szCs w:val="20"/>
                <w:lang w:val="en-AU"/>
              </w:rPr>
            </w:pPr>
          </w:p>
          <w:p w14:paraId="47F4B0F2" w14:textId="77777777" w:rsidR="00270731" w:rsidRDefault="00270731" w:rsidP="00270731">
            <w:pPr>
              <w:rPr>
                <w:rFonts w:ascii="Century Gothic" w:hAnsi="Century Gothic" w:cs="Arial"/>
                <w:sz w:val="20"/>
                <w:szCs w:val="20"/>
                <w:lang w:val="en-AU"/>
              </w:rPr>
            </w:pPr>
            <w:r w:rsidRPr="00270731">
              <w:rPr>
                <w:rFonts w:ascii="Century Gothic" w:hAnsi="Century Gothic" w:cs="Arial"/>
                <w:sz w:val="20"/>
                <w:szCs w:val="20"/>
                <w:lang w:val="en-AU"/>
              </w:rPr>
              <w:t>Unclaimed Prize Arrangements</w:t>
            </w:r>
          </w:p>
          <w:p w14:paraId="4A7035C8" w14:textId="5A664921" w:rsidR="00270731" w:rsidRPr="00270731" w:rsidRDefault="00270731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auto"/>
            <w:noWrap/>
            <w:vAlign w:val="center"/>
          </w:tcPr>
          <w:p w14:paraId="4DCC1631" w14:textId="5EC5AB59" w:rsidR="00270731" w:rsidRPr="00270731" w:rsidRDefault="00270731" w:rsidP="0027073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70731">
              <w:rPr>
                <w:rFonts w:ascii="Century Gothic" w:hAnsi="Century Gothic" w:cs="Arial"/>
                <w:sz w:val="20"/>
                <w:szCs w:val="20"/>
                <w:lang w:val="en-AU"/>
              </w:rPr>
              <w:t>If a Prize is unclaimed, the Promoter reserves the right to re-award the Prize in accordance with these Conditions of Entry.</w:t>
            </w:r>
          </w:p>
        </w:tc>
      </w:tr>
    </w:tbl>
    <w:p w14:paraId="57BD519C" w14:textId="0D2816EA" w:rsidR="00B05763" w:rsidRPr="00270731" w:rsidRDefault="00270731" w:rsidP="00270731">
      <w:pPr>
        <w:jc w:val="center"/>
        <w:rPr>
          <w:rFonts w:ascii="Century Gothic" w:hAnsi="Century Gothic"/>
          <w:sz w:val="20"/>
          <w:szCs w:val="20"/>
        </w:rPr>
      </w:pPr>
      <w:r w:rsidRPr="00270731">
        <w:rPr>
          <w:rFonts w:ascii="Century Gothic" w:hAnsi="Century Gothic"/>
          <w:sz w:val="20"/>
          <w:szCs w:val="20"/>
        </w:rPr>
        <w:t>WATT REALTY – PROMOTION TERMS AND CONDITIONS</w:t>
      </w:r>
    </w:p>
    <w:p w14:paraId="3A3E9006" w14:textId="77777777" w:rsidR="00270731" w:rsidRPr="00270731" w:rsidRDefault="00270731" w:rsidP="00270731">
      <w:pPr>
        <w:jc w:val="center"/>
        <w:rPr>
          <w:rFonts w:ascii="Century Gothic" w:hAnsi="Century Gothic"/>
          <w:sz w:val="20"/>
          <w:szCs w:val="20"/>
        </w:rPr>
      </w:pPr>
    </w:p>
    <w:p w14:paraId="5603D597" w14:textId="144D2DBF" w:rsidR="00270731" w:rsidRPr="00270731" w:rsidRDefault="00270731" w:rsidP="00270731">
      <w:pPr>
        <w:jc w:val="center"/>
        <w:rPr>
          <w:rFonts w:ascii="Century Gothic" w:hAnsi="Century Gothic"/>
          <w:sz w:val="20"/>
          <w:szCs w:val="20"/>
        </w:rPr>
      </w:pPr>
      <w:r w:rsidRPr="00270731">
        <w:rPr>
          <w:rFonts w:ascii="Century Gothic" w:hAnsi="Century Gothic"/>
          <w:sz w:val="20"/>
          <w:szCs w:val="20"/>
        </w:rPr>
        <w:t>SCHEDULE TO THE CONDITIONS OF ENTRY</w:t>
      </w:r>
    </w:p>
    <w:sectPr w:rsidR="00270731" w:rsidRPr="00270731" w:rsidSect="00214370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5384B" w14:textId="77777777" w:rsidR="00D96B67" w:rsidRDefault="00D96B67" w:rsidP="00F77077">
      <w:r>
        <w:separator/>
      </w:r>
    </w:p>
  </w:endnote>
  <w:endnote w:type="continuationSeparator" w:id="0">
    <w:p w14:paraId="1F585B0D" w14:textId="77777777" w:rsidR="00D96B67" w:rsidRDefault="00D96B67" w:rsidP="00F7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26C98" w14:textId="77777777" w:rsidR="00D96B67" w:rsidRDefault="00D96B67" w:rsidP="00F77077">
      <w:r>
        <w:separator/>
      </w:r>
    </w:p>
  </w:footnote>
  <w:footnote w:type="continuationSeparator" w:id="0">
    <w:p w14:paraId="69059C0B" w14:textId="77777777" w:rsidR="00D96B67" w:rsidRDefault="00D96B67" w:rsidP="00F770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EDCD3" w14:textId="7F85DD83" w:rsidR="00D96B67" w:rsidRDefault="00D96B67" w:rsidP="00866F11">
    <w:pPr>
      <w:pStyle w:val="Header"/>
      <w:tabs>
        <w:tab w:val="clear" w:pos="4320"/>
        <w:tab w:val="clear" w:pos="8640"/>
        <w:tab w:val="left" w:pos="3887"/>
      </w:tabs>
    </w:pPr>
    <w:r>
      <w:rPr>
        <w:noProof/>
      </w:rPr>
      <w:drawing>
        <wp:inline distT="0" distB="0" distL="0" distR="0" wp14:anchorId="0F0D1C2B" wp14:editId="6FBBC8FD">
          <wp:extent cx="1075766" cy="694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t_Realty_W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077" cy="694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21A8E38" w14:textId="77777777" w:rsidR="00D96B67" w:rsidRDefault="00D96B67">
    <w:pPr>
      <w:pStyle w:val="Header"/>
    </w:pPr>
  </w:p>
  <w:p w14:paraId="1FCEBB02" w14:textId="77777777" w:rsidR="00D96B67" w:rsidRDefault="00D96B67">
    <w:pPr>
      <w:pStyle w:val="Header"/>
    </w:pPr>
  </w:p>
  <w:p w14:paraId="58E90C33" w14:textId="77777777" w:rsidR="00D96B67" w:rsidRDefault="00D96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70"/>
    <w:rsid w:val="00214370"/>
    <w:rsid w:val="002516A6"/>
    <w:rsid w:val="00270731"/>
    <w:rsid w:val="00271B5C"/>
    <w:rsid w:val="006409BD"/>
    <w:rsid w:val="006A597D"/>
    <w:rsid w:val="00866F11"/>
    <w:rsid w:val="00871904"/>
    <w:rsid w:val="009A6E12"/>
    <w:rsid w:val="009D225A"/>
    <w:rsid w:val="00A32958"/>
    <w:rsid w:val="00AB566F"/>
    <w:rsid w:val="00B05763"/>
    <w:rsid w:val="00C62D89"/>
    <w:rsid w:val="00CD505A"/>
    <w:rsid w:val="00D96B67"/>
    <w:rsid w:val="00F40F35"/>
    <w:rsid w:val="00F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03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3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77"/>
  </w:style>
  <w:style w:type="paragraph" w:styleId="Footer">
    <w:name w:val="footer"/>
    <w:basedOn w:val="Normal"/>
    <w:link w:val="FooterChar"/>
    <w:uiPriority w:val="99"/>
    <w:unhideWhenUsed/>
    <w:rsid w:val="00F77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3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77"/>
  </w:style>
  <w:style w:type="paragraph" w:styleId="Footer">
    <w:name w:val="footer"/>
    <w:basedOn w:val="Normal"/>
    <w:link w:val="FooterChar"/>
    <w:uiPriority w:val="99"/>
    <w:unhideWhenUsed/>
    <w:rsid w:val="00F77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attrealty.com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5F9CF-95BD-5E4D-A437-F568D164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1334</Characters>
  <Application>Microsoft Macintosh Word</Application>
  <DocSecurity>0</DocSecurity>
  <Lines>11</Lines>
  <Paragraphs>3</Paragraphs>
  <ScaleCrop>false</ScaleCrop>
  <Company>WATT REALTY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Watt</dc:creator>
  <cp:keywords/>
  <dc:description/>
  <cp:lastModifiedBy>Justin Watt</cp:lastModifiedBy>
  <cp:revision>5</cp:revision>
  <cp:lastPrinted>2013-07-19T21:44:00Z</cp:lastPrinted>
  <dcterms:created xsi:type="dcterms:W3CDTF">2015-03-31T02:59:00Z</dcterms:created>
  <dcterms:modified xsi:type="dcterms:W3CDTF">2017-02-22T02:31:00Z</dcterms:modified>
</cp:coreProperties>
</file>